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DC25B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4689A">
        <w:rPr>
          <w:rFonts w:ascii="Arial" w:hAnsi="Arial" w:cs="Arial"/>
          <w:b/>
          <w:sz w:val="24"/>
          <w:szCs w:val="24"/>
        </w:rPr>
        <w:t xml:space="preserve">vrchního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DC25B8" w:rsidRPr="00DC25B8">
        <w:rPr>
          <w:rFonts w:ascii="Arial" w:hAnsi="Arial" w:cs="Arial"/>
          <w:b/>
          <w:sz w:val="24"/>
          <w:szCs w:val="24"/>
        </w:rPr>
        <w:t>procesního řízení a standardizace agend veřejné správy</w:t>
      </w:r>
      <w:r w:rsidR="00DC25B8" w:rsidRPr="00DC25B8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DC25B8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22F50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64265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C25B8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2017-03-28T07:50:00Z</cp:lastPrinted>
  <dcterms:created xsi:type="dcterms:W3CDTF">2015-12-02T10:12:00Z</dcterms:created>
  <dcterms:modified xsi:type="dcterms:W3CDTF">2017-03-28T07:50:00Z</dcterms:modified>
</cp:coreProperties>
</file>