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7730">
        <w:rPr>
          <w:rFonts w:ascii="Times New Roman" w:hAnsi="Times New Roman" w:cs="Times New Roman"/>
          <w:sz w:val="24"/>
          <w:szCs w:val="24"/>
        </w:rPr>
      </w:r>
      <w:r w:rsidR="00AD77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7228D2" w:rsidRPr="007228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7730">
        <w:rPr>
          <w:rFonts w:ascii="Times New Roman" w:hAnsi="Times New Roman" w:cs="Times New Roman"/>
          <w:sz w:val="24"/>
          <w:szCs w:val="24"/>
        </w:rPr>
      </w:r>
      <w:r w:rsidR="00AD77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7730">
              <w:rPr>
                <w:rFonts w:ascii="Times New Roman" w:hAnsi="Times New Roman" w:cs="Times New Roman"/>
                <w:sz w:val="24"/>
                <w:szCs w:val="24"/>
              </w:rPr>
            </w:r>
            <w:r w:rsidR="00AD77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</w:t>
      </w:r>
      <w:r w:rsidR="00682F60" w:rsidRPr="00682F60">
        <w:rPr>
          <w:rFonts w:ascii="Times New Roman" w:hAnsi="Times New Roman" w:cs="Times New Roman"/>
          <w:bCs/>
          <w:color w:val="000000" w:themeColor="text1"/>
        </w:rPr>
        <w:t xml:space="preserve">- popište „Registr smluv a uveďte, jaké jsou možnosti jeho využití v praxi. Zaměřte se zejména na přínosy pro občana, pro úředníka státní (veřejné) správy, </w:t>
      </w:r>
      <w:r w:rsidR="00682F60">
        <w:rPr>
          <w:rFonts w:ascii="Times New Roman" w:hAnsi="Times New Roman" w:cs="Times New Roman"/>
          <w:bCs/>
          <w:color w:val="000000" w:themeColor="text1"/>
        </w:rPr>
        <w:t>p</w:t>
      </w:r>
      <w:r w:rsidR="00682F60" w:rsidRPr="00682F60">
        <w:rPr>
          <w:rFonts w:ascii="Times New Roman" w:hAnsi="Times New Roman" w:cs="Times New Roman"/>
          <w:bCs/>
          <w:color w:val="000000" w:themeColor="text1"/>
        </w:rPr>
        <w:t xml:space="preserve">ro novináře apod.“, </w:t>
      </w:r>
      <w:r w:rsidR="00682F60">
        <w:rPr>
          <w:rFonts w:ascii="Times New Roman" w:hAnsi="Times New Roman" w:cs="Times New Roman"/>
          <w:bCs/>
          <w:color w:val="000000" w:themeColor="text1"/>
        </w:rPr>
        <w:br/>
      </w:r>
      <w:bookmarkStart w:id="0" w:name="_GoBack"/>
      <w:bookmarkEnd w:id="0"/>
      <w:r w:rsidR="00682F60" w:rsidRPr="00682F60">
        <w:rPr>
          <w:rFonts w:ascii="Times New Roman" w:hAnsi="Times New Roman" w:cs="Times New Roman"/>
          <w:bCs/>
          <w:color w:val="000000" w:themeColor="text1"/>
        </w:rPr>
        <w:t>v rozsahu maximálně tří normostra</w:t>
      </w:r>
      <w:r w:rsidR="00682F60">
        <w:rPr>
          <w:rFonts w:ascii="Times New Roman" w:hAnsi="Times New Roman" w:cs="Times New Roman"/>
          <w:bCs/>
          <w:color w:val="000000" w:themeColor="text1"/>
        </w:rPr>
        <w:t>n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                  </w:t>
      </w:r>
      <w:r w:rsidR="00682F60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</w:t>
      </w:r>
      <w:r w:rsidR="00682F60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7730">
        <w:rPr>
          <w:rFonts w:ascii="Times New Roman" w:hAnsi="Times New Roman" w:cs="Times New Roman"/>
          <w:b/>
          <w:bCs/>
        </w:rPr>
      </w:r>
      <w:r w:rsidR="00AD77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82F60" w:rsidRDefault="00682F60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730" w:rsidRDefault="00AD7730" w:rsidP="00386203">
      <w:pPr>
        <w:spacing w:after="0" w:line="240" w:lineRule="auto"/>
      </w:pPr>
      <w:r>
        <w:separator/>
      </w:r>
    </w:p>
  </w:endnote>
  <w:endnote w:type="continuationSeparator" w:id="0">
    <w:p w:rsidR="00AD7730" w:rsidRDefault="00AD77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2F6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730" w:rsidRDefault="00AD7730" w:rsidP="00386203">
      <w:pPr>
        <w:spacing w:after="0" w:line="240" w:lineRule="auto"/>
      </w:pPr>
      <w:r>
        <w:separator/>
      </w:r>
    </w:p>
  </w:footnote>
  <w:footnote w:type="continuationSeparator" w:id="0">
    <w:p w:rsidR="00AD7730" w:rsidRDefault="00AD773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2F60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42EF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1B1A"/>
    <w:rsid w:val="00AB30E8"/>
    <w:rsid w:val="00AB3809"/>
    <w:rsid w:val="00AD054B"/>
    <w:rsid w:val="00AD7730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44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48DBD-AD79-4D04-9D1A-7907DA664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927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2018-02-23T08:58:00Z</dcterms:modified>
</cp:coreProperties>
</file>